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22 8 vom 23. Dezember 2022</w:t>
      </w:r>
    </w:p>
    <w:p>
      <w:r>
        <w:t>UR Obergericht, 2022-12-23, DE</w:t>
      </w:r>
    </w:p>
    <w:p>
      <w:r>
        <w:rPr>
          <w:b/>
        </w:rPr>
        <w:t xml:space="preserve">Quelle: </w:t>
      </w:r>
      <w:r>
        <w:t>https://mcp.opencaselaw.ch/entscheid/ur_gerichte_OG Z 22 8</w:t>
      </w:r>
    </w:p>
    <w:p>
      <w:r>
        <w:t>FR: UR_GERICHTE OG Z 22 8 du 23 décembre 2022</w:t>
      </w:r>
    </w:p>
    <w:p>
      <w:r>
        <w:t>IT: UR_GERICHTE OG Z 22 8 del 23 dicembre 2022</w:t>
      </w:r>
    </w:p>
    <w:p>
      <w:pPr>
        <w:pStyle w:val="Heading2"/>
      </w:pPr>
      <w:r>
        <w:t>Erwägungen</w:t>
      </w:r>
    </w:p>
    <w:p>
      <w:r>
        <w:rPr>
          <w:b/>
        </w:rPr>
        <w:t>E. 3</w:t>
      </w:r>
    </w:p>
    <w:p>
      <w:r>
        <w:t>Veröffentlichte Werke dürfen zum Eigengebrauch verwendet werden (Art. 19 Abs. 1 URG). Erlaubt ist dabei insbesondere auch das Vervielfältigen von Werkexemplaren in Betrieben für die interne Information oder Dokumentation (Art. 19 Abs. 1 lit. c URG). Wer sich dieser Form des Eigengebrauchs bedient, schuldet jedoch dem Urheber oder der Urheberin hierfür eine Vergütung (Art. 20 Abs. 2 URG). Das Recht auf solche Kopiervergütungen gehört, neben anderen (Art. 13, Art. 20 Abs. 3 und Art. 35 URG), zu den Vergütungsansprüchen, die das am 1. Juli 1993 in Kraft getretene URG eingeführt hat, um Urheber und ausübende Künstler an den Erträgen von unkontrollierbaren Massennutzungen ihrer Werke und Darbietungen teilhaben zu lassen. Für diese Ansprüche sieht das Gesetz zwingend die kollektive Verwertung vor: Sie können nur von zugelassenen Verwertungsgesellschaften (Art. 40 ff. URG) – wie beispielsweise der Klägerin – geltend gemacht werden (Art. 13 Abs. 3, Art. 20 Abs. 4, Art. 35 Abs. 3 URG). Die Verwertungsgesellschaften, die für diesen Aufgabenbereich unter Bundesaufsicht stehen, sind verpflichtet, gestützt auf entsprechende Tarife (Art. 46 f. und Art. 55 ff. URG) die Vergütungsansprüche wahrzunehmen (Art. 44 URG) und ihre Verwertung nach festen Regeln und nach dem Gebot der Gleichbehandlung zu besorgen (Art. 45 Abs. 2 URG) (BGer 4A_41/2020 vom 17.04.2020 E. 2.2.1, 4A_39/2020 vom 17.04.2020 E. 2.2.1; BGE 125 III 142 E. 3). Die Klägerin hat als zugelassene Verwertungsgesellschaft nicht nur das Recht, sondern auch die Pflicht, für die Vergütung entsprechende Tarife aufzustellen, die Vergütungsansprüche wahrzunehmen und die Vergütungen einzuziehen. Die Klägerin stützt ihre Forderung auf die gemäss Art. 59 URG von der Eidgenössischen Schiedskommission genehmigten Gemeinsamen Tarife 8 und 9, welche für die Gerichte verbindlich sind (Art. 59 Abs. 3 URG). Der Gemeinsame Tarif 8 (Fotokopiervergütung) umschreibt dabei den Verwendungsbereich, die Bedingungen und die Vergütungen für das Vervielfältigen urheberrechtlich geschützter und veröffentlichter Werke auf Papier mittels dazu geeigneter</w:t>
      </w:r>
    </w:p>
    <w:p>
      <w:r>
        <w:t>Geräte (Fotokopiergeräte, Telefaxgeräte, Multifunktionsgeräte, Drucker usw.) ab einer Papier- oder digitalen Vorlage. Der Gemeinsame Tarif 9 (betriebsinterne Netzwerkvergütung) umschreibt den Verwendungsbereich, die Bedingungen und die Vergütungen für das digitale Vervielfältigen und Verbreiten von geschützten Werken und geschützten Leistungen in elektronischer Form zum Eigengebrauch mittels betriebsinterner Netzwerke im Dienstleistungsbereich. Die Klägerin hat die Fotokopiervergütung sowie die betriebsinterne Netzvergütung gegenüber der Beklagten aufgrund des fehlenden Eingangs des Erhebungsformulars gestützt auf Ziffer 6 ff. und Ziffer 8.3 des Gemeinsamen Tarifs (GT) 8 sowie Ziffer 8.3 des Gemeinsamen Tarifs (GT) 9 eingeschätzt. Gemäss Ziffer 8.3 der vorerwähnten GT‘s gilt die Schätzung als anerkannt, wenn die beklagte Partei die Schätzung nicht innert 30 Tagen reklamiert. Die Beklagte liess sich in der Folge – wie im Übrigen auch im vorliegenden Klageverfahren – nicht vernehmen. Somit gilt die Einschätzung als anerkannt. Auch die folgenden Mahnschreiben blieben ohne Erfolg. Wer ein Kopiergerät besitzt und von einem Pauschaltarif erfasst wird, ist ohne Rücksicht auf die Zahl der tatsächlich angefertigten Kopien aus geschützten Werken vergütungspflichtig, dafür aber auch unabhängig vom Betrag der zu leistenden Vergütung uneingeschränkt nutzungsberechtigt (vergleiche dazu BGE 125 III 145 ff. E. 4b mit Hinweisen). Was, wie vorerwähnt für den GT 8 gilt, hat auch bei betriebsinternen Netzwerkvergütungen (GT 9) Geltung (vergleiche dazu BGE 4A_203/2015 vom 30.06.2015 E. 3.4.2 mit Hinweisen). Gesagtes erhellt, dass sich damit die Klage als begründet erweist und entsprechend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